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0" w:type="dxa"/>
        <w:tblInd w:w="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0140"/>
      </w:tblGrid>
      <w:tr>
        <w:trPr>
          <w:cantSplit/>
          <w:trHeight w:val="1982"/>
        </w:trPr>
        <w:tc>
          <w:tcPr>
            <w:tcW w:w="10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tbl>
            <w:tblPr>
              <w:tblW w:w="10140" w:type="dxa"/>
              <w:tblInd w:w="0" w:type="dxa"/>
              <w:tblLayout w:type="fixed"/>
              <w:tblCellMar>
                <w:left w:w="10" w:type="dxa"/>
                <w:top w:w="0" w:type="dxa"/>
                <w:right w:w="1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one"/>
                    <w:left w:val="none"/>
                    <w:bottom w:val="single" w:color="000000" w:sz="4" w:space="0"/>
                    <w:right w:val="none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extDirection w:val="lrTb"/>
                  <w:vAlign w:val="top"/>
                </w:tcPr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0702" cy="636270"/>
                            <wp:effectExtent l="0" t="0" r="0" b="0"/>
                            <wp:docPr id="1" name="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0702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67.0pt;height:50.1pt;mso-wrap-distance-left:0.0pt;mso-wrap-distance-top:0.0pt;mso-wrap-distance-right:0.0pt;mso-wrap-distance-bottom:0.0pt;" stroked="f">
                            <v:path textboxrect="0,0,0,0"/>
                            <v:imagedata r:id="rId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iberation Serif" w:hAnsi="Liberation Serif" w:cs="Liberation Serif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 xml:space="preserve">ПРАВИТЕЛЬСТВО СВЕРДЛОВСКОЙ ОБЛАСТИ</w:t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6"/>
                      <w:szCs w:val="20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 xml:space="preserve">РЕГИОНАЛЬНАЯ ЭНЕРГЕТИЧЕСКАЯ КОМИССИЯ</w:t>
                  </w:r>
                  <w:r>
                    <w:rPr>
                      <w:rFonts w:ascii="Liberation Serif" w:hAnsi="Liberation Serif" w:cs="Liberation Serif"/>
                      <w:b/>
                      <w:sz w:val="26"/>
                      <w:szCs w:val="20"/>
                      <w:lang w:eastAsia="en-US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 xml:space="preserve">СВЕРДЛОВСКОЙ ОБЛАСТИ</w:t>
                  </w:r>
                  <w:r>
                    <w:rPr>
                      <w:rFonts w:ascii="Liberation Serif" w:hAnsi="Liberation Serif" w:cs="Liberation Serif"/>
                    </w:rPr>
                  </w:r>
                </w:p>
              </w:tc>
            </w:tr>
          </w:tbl>
          <w:p>
            <w:pPr>
              <w:pStyle w:val="Normal"/>
              <w:widowControl w:val="off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off"/>
              <w:spacing w:line="276" w:lineRule="auto"/>
              <w:jc w:val="center"/>
              <w:rPr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 xml:space="preserve">ПОСТАНОВЛЕНИЕ</w:t>
            </w:r>
            <w:r>
              <w:rPr>
                <w:szCs w:val="20"/>
              </w:rPr>
            </w:r>
          </w:p>
          <w:p>
            <w:pPr>
              <w:pStyle w:val="Normal"/>
              <w:widowControl w:val="off"/>
              <w:spacing w:line="276" w:lineRule="auto"/>
              <w:jc w:val="center"/>
              <w:rPr>
                <w:rFonts w:ascii="Liberation Serif" w:hAnsi="Liberation Serif" w:cs="Liberation Serif"/>
                <w:b/>
                <w:sz w:val="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4"/>
                <w:lang w:eastAsia="en-US"/>
              </w:rPr>
            </w:r>
          </w:p>
          <w:p>
            <w:pPr>
              <w:pStyle w:val="Normal"/>
              <w:widowControl w:val="off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</w:r>
          </w:p>
        </w:tc>
      </w:tr>
    </w:tbl>
    <w:p>
      <w:pPr>
        <w:pStyle w:val="Normal"/>
        <w:widowControl w:val="off"/>
        <w:tabs>
          <w:tab w:val="left" w:pos="1276" w:leader="none"/>
          <w:tab w:val="center" w:pos="4153" w:leader="none"/>
          <w:tab w:val="right" w:pos="830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27</w:t>
      </w:r>
      <w:r>
        <w:rPr>
          <w:rFonts w:ascii="Liberation Serif" w:hAnsi="Liberation Serif" w:cs="Liberation Serif"/>
        </w:rPr>
        <w:t xml:space="preserve">.12.2021 № </w:t>
      </w:r>
      <w:r>
        <w:rPr>
          <w:rFonts w:ascii="Liberation Serif" w:hAnsi="Liberation Serif" w:cs="Liberation Serif"/>
        </w:rPr>
        <w:t xml:space="preserve">248</w:t>
      </w:r>
      <w:r>
        <w:rPr>
          <w:rFonts w:ascii="Liberation Serif" w:hAnsi="Liberation Serif" w:cs="Liberation Serif"/>
        </w:rPr>
        <w:t xml:space="preserve">-ПК</w:t>
      </w:r>
    </w:p>
    <w:p>
      <w:pPr>
        <w:pStyle w:val="Normal"/>
        <w:widowControl w:val="off"/>
        <w:tabs>
          <w:tab w:val="left" w:pos="1276" w:leader="none"/>
          <w:tab w:val="center" w:pos="4153" w:leader="none"/>
          <w:tab w:val="right" w:pos="8306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г. Екатеринбург</w:t>
      </w:r>
    </w:p>
    <w:p>
      <w:pPr>
        <w:pStyle w:val="Normal"/>
        <w:widowControl w:val="off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</w:r>
    </w:p>
    <w:p>
      <w:pPr>
        <w:pStyle w:val="Normal"/>
        <w:widowControl w:val="off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Об у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становлении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тарифов на электрическую энергию для населения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и приравненных к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нему 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категори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й потребителей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по Свердловской области</w:t>
      </w:r>
    </w:p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на 20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2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2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год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26 марта 2003 года № 35-ФЗ                 «Об электроэнергетике», постановлением Правительства Российской Федерации </w:t>
        <w:br w:type="textWrapping" w:clear="all"/>
        <w:t xml:space="preserve">от 29.12.2011 № 1178 «О ценообразовании в области регулируемых цен (тарифов) </w:t>
        <w:br w:type="textWrapping" w:clear="all"/>
        <w:t xml:space="preserve">в электроэнергетике», </w:t>
      </w:r>
      <w:r>
        <w:rPr>
          <w:rFonts w:ascii="Liberation Serif" w:hAnsi="Liberation Serif" w:cs="Liberation Serif"/>
          <w:sz w:val="28"/>
          <w:szCs w:val="28"/>
        </w:rPr>
        <w:t xml:space="preserve">приказом Федеральной службы по тарифам от 16.09.2014</w:t>
      </w:r>
      <w:r>
        <w:rPr>
          <w:rFonts w:ascii="Liberation Serif" w:hAnsi="Liberation Serif" w:cs="Liberation Serif"/>
          <w:sz w:val="28"/>
          <w:szCs w:val="28"/>
        </w:rPr>
        <w:t xml:space="preserve"> № </w:t>
      </w:r>
      <w:r>
        <w:rPr>
          <w:rFonts w:ascii="Liberation Serif" w:hAnsi="Liberation Serif" w:cs="Liberation Serif"/>
          <w:sz w:val="28"/>
          <w:szCs w:val="28"/>
        </w:rPr>
        <w:t xml:space="preserve">1442-э «Об утверждении Методических указаний по расчету тарифов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приказами Федеральной антимонопольной службы от 19.06.2018 № 834/18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«Об утверждении Регламента установления цен (тарифов) и (или) их предельных уровней, предусматривающего порядок регистрации, принятия к рассмотрению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выдачи отказов в рассмотрении заявлений об установлении цен (тарифов)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(или) их предельных уровней, и формы решения органа исполнительной власти субъекта Российской Федерации в области государс</w:t>
      </w:r>
      <w:r>
        <w:rPr>
          <w:rFonts w:ascii="Liberation Serif" w:hAnsi="Liberation Serif" w:cs="Liberation Serif"/>
          <w:sz w:val="28"/>
          <w:szCs w:val="28"/>
        </w:rPr>
        <w:t xml:space="preserve">твенного регулирования тарифов» и</w:t>
      </w:r>
      <w:r>
        <w:rPr>
          <w:rFonts w:ascii="Liberation Serif" w:hAnsi="Liberation Serif" w:cs="Liberation Serif"/>
          <w:sz w:val="28"/>
          <w:szCs w:val="28"/>
        </w:rPr>
        <w:t xml:space="preserve"> от </w:t>
      </w:r>
      <w:r>
        <w:rPr>
          <w:rFonts w:ascii="Liberation Serif" w:hAnsi="Liberation Serif" w:cs="Liberation Serif"/>
          <w:sz w:val="28"/>
          <w:szCs w:val="28"/>
        </w:rPr>
        <w:t xml:space="preserve">13</w:t>
      </w:r>
      <w:r>
        <w:rPr>
          <w:rFonts w:ascii="Liberation Serif" w:hAnsi="Liberation Serif" w:cs="Liberation Serif"/>
          <w:sz w:val="28"/>
          <w:szCs w:val="28"/>
        </w:rPr>
        <w:t xml:space="preserve">.10.202</w:t>
      </w:r>
      <w:r>
        <w:rPr>
          <w:rFonts w:ascii="Liberation Serif" w:hAnsi="Liberation Serif" w:cs="Liberation Serif"/>
          <w:sz w:val="28"/>
          <w:szCs w:val="28"/>
        </w:rPr>
        <w:t xml:space="preserve">1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1107/21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«О предельных минимальных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максимальных уровнях тарифов на электрическую энергию (мощность), поставляемую населению и приравненным к нему категориям потребителей,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по субъектам Российской Федерации на 202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год»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Указом Губернатора Свердловской области от 13.11.2010 № 1067-УГ «Об утверждении Положения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 Региональной энергетической комиссии Свердловской области» Региональная энергетическая комиссия Свердловской области </w:t>
      </w:r>
    </w:p>
    <w:p>
      <w:pPr>
        <w:pStyle w:val="Normal"/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ПОСТАНОВЛЯЕТ:</w:t>
      </w:r>
    </w:p>
    <w:p>
      <w:pPr>
        <w:pStyle w:val="Normal"/>
        <w:numPr>
          <w:numId w:val="4"/>
          <w:ilvl w:val="0"/>
        </w:numPr>
        <w:tabs>
          <w:tab w:val="left" w:pos="0" w:leader="none"/>
          <w:tab w:val="left" w:pos="900" w:leader="none"/>
          <w:tab w:val="left" w:pos="993" w:leader="none"/>
        </w:tabs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Установить</w:t>
      </w:r>
      <w:r>
        <w:rPr>
          <w:rFonts w:ascii="Liberation Serif" w:hAnsi="Liberation Serif" w:cs="Liberation Serif"/>
          <w:sz w:val="28"/>
          <w:szCs w:val="28"/>
        </w:rPr>
        <w:t xml:space="preserve"> с 1 января 20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года по </w:t>
      </w:r>
      <w:r>
        <w:rPr>
          <w:rFonts w:ascii="Liberation Serif" w:hAnsi="Liberation Serif" w:cs="Liberation Serif"/>
          <w:sz w:val="28"/>
          <w:szCs w:val="28"/>
        </w:rPr>
        <w:t xml:space="preserve">31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декабря</w:t>
      </w:r>
      <w:r>
        <w:rPr>
          <w:rFonts w:ascii="Liberation Serif" w:hAnsi="Liberation Serif" w:cs="Liberation Serif"/>
          <w:sz w:val="28"/>
          <w:szCs w:val="28"/>
        </w:rPr>
        <w:t xml:space="preserve"> 20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года включительно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с календарной разбивкой</w:t>
      </w:r>
      <w:r>
        <w:rPr>
          <w:rFonts w:ascii="Liberation Serif" w:hAnsi="Liberation Serif" w:cs="Liberation Serif"/>
          <w:sz w:val="28"/>
          <w:szCs w:val="28"/>
        </w:rPr>
        <w:t xml:space="preserve"> тарифы на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электрическую энергию для населения </w:t>
      </w:r>
      <w:r>
        <w:rPr>
          <w:rFonts w:ascii="Liberation Serif" w:hAnsi="Liberation Serif" w:cs="Liberation Serif"/>
          <w:bCs/>
          <w:iCs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и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приравненных к нему категорий потребителей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согласно приложению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>
      <w:pPr>
        <w:pStyle w:val="Normal"/>
        <w:numPr>
          <w:numId w:val="4"/>
          <w:ilvl w:val="0"/>
        </w:numPr>
        <w:tabs>
          <w:tab w:val="left" w:pos="993" w:leader="none"/>
        </w:tabs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Признать утратившим силу с 1 января 20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 года постановление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8.12.2020</w:t>
      </w:r>
      <w:r>
        <w:rPr>
          <w:rFonts w:ascii="Liberation Serif" w:hAnsi="Liberation Serif" w:cs="Liberation Serif"/>
          <w:sz w:val="28"/>
          <w:szCs w:val="28"/>
        </w:rPr>
        <w:t xml:space="preserve"> </w:t>
        <w:br w:type="textWrapping" w:clear="all"/>
        <w:t xml:space="preserve">№ 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cs="Liberation Serif"/>
          <w:sz w:val="28"/>
          <w:szCs w:val="28"/>
        </w:rPr>
        <w:t xml:space="preserve">3</w:t>
      </w:r>
      <w:r>
        <w:rPr>
          <w:rFonts w:ascii="Liberation Serif" w:hAnsi="Liberation Serif" w:cs="Liberation Serif"/>
          <w:sz w:val="28"/>
          <w:szCs w:val="28"/>
        </w:rPr>
        <w:t xml:space="preserve">-ПК «Об установлении тарифов на электрическую энергию для населения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и приравненных к нему категорий потребителей по Свердловской</w:t>
      </w:r>
      <w:r>
        <w:rPr>
          <w:rFonts w:ascii="Liberation Serif" w:hAnsi="Liberation Serif" w:cs="Liberation Serif"/>
          <w:sz w:val="28"/>
          <w:szCs w:val="28"/>
        </w:rPr>
        <w:t xml:space="preserve"> области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на 202</w:t>
      </w:r>
      <w:r>
        <w:rPr>
          <w:rFonts w:ascii="Liberation Serif" w:hAnsi="Liberation Serif" w:cs="Liberation Serif"/>
          <w:sz w:val="28"/>
          <w:szCs w:val="28"/>
        </w:rPr>
        <w:t xml:space="preserve">1</w:t>
      </w:r>
      <w:r>
        <w:rPr>
          <w:rFonts w:ascii="Liberation Serif" w:hAnsi="Liberation Serif" w:cs="Liberation Serif"/>
          <w:sz w:val="28"/>
          <w:szCs w:val="28"/>
        </w:rPr>
        <w:t xml:space="preserve"> год» </w:t>
      </w: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8"/>
          <w:szCs w:val="28"/>
        </w:rPr>
        <w:t xml:space="preserve">«Официальный интернет-портал правовой информации Свердловской области» (www.pravo.gov66.ru)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2020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30</w:t>
      </w:r>
      <w:r>
        <w:rPr>
          <w:rFonts w:ascii="Liberation Serif" w:hAnsi="Liberation Serif" w:cs="Liberation Serif"/>
          <w:sz w:val="28"/>
          <w:szCs w:val="28"/>
        </w:rPr>
        <w:t xml:space="preserve"> декабря, № </w:t>
      </w: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8885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>
      <w:pPr>
        <w:pStyle w:val="Normal"/>
        <w:numPr>
          <w:numId w:val="4"/>
          <w:ilvl w:val="0"/>
        </w:numPr>
        <w:tabs>
          <w:tab w:val="left" w:pos="0" w:leader="none"/>
          <w:tab w:val="left" w:pos="900" w:leader="none"/>
          <w:tab w:val="left" w:pos="993" w:leader="none"/>
        </w:tabs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заместителя председателя Региональной энергетической комиссии Свердловской области М.Б. Соболя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cs="Liberation Serif"/>
          <w:sz w:val="28"/>
          <w:szCs w:val="28"/>
        </w:rPr>
        <w:t xml:space="preserve">. Настоящее постановление опубликовать на «Официальном интернет-портале правовой информации Свердловской области» (www.pravo.gov66.ru).</w:t>
      </w:r>
    </w:p>
    <w:p>
      <w:pPr>
        <w:pStyle w:val="Normal"/>
        <w:tabs>
          <w:tab w:val="left" w:pos="0" w:leader="none"/>
          <w:tab w:val="left" w:pos="900" w:leader="none"/>
          <w:tab w:val="left" w:pos="993" w:leader="none"/>
        </w:tabs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tabs>
          <w:tab w:val="left" w:pos="900" w:leader="none"/>
          <w:tab w:val="left" w:pos="993" w:leader="none"/>
        </w:tabs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tabs>
          <w:tab w:val="left" w:pos="900" w:leader="none"/>
          <w:tab w:val="left" w:pos="993" w:leader="none"/>
        </w:tabs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tabs>
          <w:tab w:val="left" w:pos="900" w:leader="none"/>
          <w:tab w:val="left" w:pos="993" w:leader="none"/>
        </w:tabs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Исполняющий обязанности председателя</w:t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</w:t>
      </w:r>
    </w:p>
    <w:p>
      <w:pPr>
        <w:pStyle w:val="Normal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</w:t>
        <w:tab/>
        <w:tab/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 В.В. Гришанов</w:t>
      </w:r>
    </w:p>
    <w:p>
      <w:pPr>
        <w:pStyle w:val="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7020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7020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7020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left="6237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  <w:r>
        <w:rPr>
          <w:rFonts w:ascii="Liberation Serif" w:hAnsi="Liberation Serif" w:cs="Liberation Serif"/>
        </w:rPr>
        <w:t xml:space="preserve">Приложение</w:t>
      </w:r>
      <w:r>
        <w:rPr>
          <w:rFonts w:ascii="Liberation Serif" w:hAnsi="Liberation Serif" w:cs="Liberation Serif"/>
        </w:rPr>
      </w:r>
    </w:p>
    <w:p>
      <w:pPr>
        <w:pStyle w:val="Normal"/>
        <w:ind w:left="6237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</w:t>
      </w:r>
      <w:r>
        <w:rPr>
          <w:rFonts w:ascii="Liberation Serif" w:hAnsi="Liberation Serif" w:cs="Liberation Serif"/>
        </w:rPr>
        <w:t xml:space="preserve">постановлени</w:t>
      </w:r>
      <w:r>
        <w:rPr>
          <w:rFonts w:ascii="Liberation Serif" w:hAnsi="Liberation Serif" w:cs="Liberation Serif"/>
        </w:rPr>
        <w:t xml:space="preserve">ю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</w:r>
    </w:p>
    <w:p>
      <w:pPr>
        <w:pStyle w:val="Normal"/>
        <w:ind w:left="6237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РЭК Свердловской области</w:t>
      </w:r>
    </w:p>
    <w:p>
      <w:pPr>
        <w:pStyle w:val="Normal"/>
        <w:ind w:left="6237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</w:t>
      </w:r>
      <w:r>
        <w:rPr>
          <w:rFonts w:ascii="Liberation Serif" w:hAnsi="Liberation Serif" w:cs="Liberation Serif"/>
        </w:rPr>
        <w:t xml:space="preserve">т</w:t>
      </w:r>
      <w:r>
        <w:rPr>
          <w:rFonts w:ascii="Liberation Serif" w:hAnsi="Liberation Serif" w:cs="Liberation Serif"/>
        </w:rPr>
        <w:t xml:space="preserve"> 27</w:t>
      </w:r>
      <w:r>
        <w:rPr>
          <w:rFonts w:ascii="Liberation Serif" w:hAnsi="Liberation Serif" w:cs="Liberation Serif"/>
        </w:rPr>
        <w:t xml:space="preserve">.12.20</w:t>
      </w:r>
      <w:r>
        <w:rPr>
          <w:rFonts w:ascii="Liberation Serif" w:hAnsi="Liberation Serif" w:cs="Liberation Serif"/>
        </w:rPr>
        <w:t xml:space="preserve">2</w:t>
      </w:r>
      <w:r>
        <w:rPr>
          <w:rFonts w:ascii="Liberation Serif" w:hAnsi="Liberation Serif" w:cs="Liberation Serif"/>
        </w:rPr>
        <w:t xml:space="preserve">1</w:t>
      </w:r>
      <w:r>
        <w:rPr>
          <w:rFonts w:ascii="Liberation Serif" w:hAnsi="Liberation Serif" w:cs="Liberation Serif"/>
        </w:rPr>
        <w:t xml:space="preserve"> №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248</w:t>
      </w:r>
      <w:r>
        <w:rPr>
          <w:rFonts w:ascii="Liberation Serif" w:hAnsi="Liberation Serif" w:cs="Liberation Serif"/>
        </w:rPr>
        <w:t xml:space="preserve">-ПК</w:t>
      </w:r>
    </w:p>
    <w:p>
      <w:pPr>
        <w:pStyle w:val="Normal"/>
        <w:ind w:left="6237"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left="6237"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1"/>
        <w:jc w:val="center"/>
        <w:outlineLvl w:val="0"/>
        <w:rPr>
          <w:rFonts w:ascii="Liberation Serif" w:hAnsi="Liberation Serif" w:cs="Liberation Serif"/>
          <w:bCs w:val="0"/>
          <w:iCs/>
          <w:sz w:val="28"/>
          <w:szCs w:val="28"/>
        </w:rPr>
      </w:pPr>
      <w:r>
        <w:rPr>
          <w:rFonts w:ascii="Liberation Serif" w:hAnsi="Liberation Serif" w:cs="Liberation Serif"/>
          <w:bCs w:val="0"/>
          <w:iCs/>
          <w:sz w:val="28"/>
          <w:szCs w:val="28"/>
        </w:rPr>
        <w:t xml:space="preserve">Тарифы на электрическую энергию для населения и приравненных к нему категорий потребителей по Свердловской области </w:t>
      </w:r>
    </w:p>
    <w:p>
      <w:pPr>
        <w:pStyle w:val="UserStyle_1"/>
        <w:jc w:val="center"/>
        <w:outlineLvl w:val="0"/>
        <w:rPr>
          <w:rFonts w:ascii="Liberation Serif" w:hAnsi="Liberation Serif" w:cs="Liberation Serif"/>
          <w:bCs w:val="0"/>
          <w:iCs/>
          <w:sz w:val="28"/>
          <w:szCs w:val="28"/>
        </w:rPr>
      </w:pPr>
      <w:r>
        <w:rPr>
          <w:rFonts w:ascii="Liberation Serif" w:hAnsi="Liberation Serif" w:cs="Liberation Serif"/>
          <w:bCs w:val="0"/>
          <w:iCs/>
          <w:sz w:val="28"/>
          <w:szCs w:val="28"/>
        </w:rPr>
        <w:t xml:space="preserve">с 1 января 2022 года по 31 декабря 2022 года</w:t>
      </w:r>
    </w:p>
    <w:p>
      <w:pPr>
        <w:pStyle w:val="Normal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99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37"/>
        <w:gridCol w:w="5846"/>
        <w:gridCol w:w="1589"/>
        <w:gridCol w:w="1757"/>
      </w:tblGrid>
      <w:tr>
        <w:trPr>
          <w:cantSplit/>
        </w:trPr>
        <w:tc>
          <w:tcPr>
            <w:tcW w:w="737" w:type="dxa"/>
            <w:vMerge w:val="restart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п/п</w:t>
            </w:r>
          </w:p>
        </w:tc>
        <w:tc>
          <w:tcPr>
            <w:tcW w:w="5846" w:type="dxa"/>
            <w:vMerge w:val="restart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Категории потребителей с разбивкой по ставкам и дифференциацией по зонам суток</w:t>
            </w:r>
          </w:p>
        </w:tc>
        <w:tc>
          <w:tcPr>
            <w:tcW w:w="3346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Цена (тариф), руб./кВт·ч (с учетом НДС)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vMerge w:val="continue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589" w:type="dxa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I полугодие</w:t>
            </w:r>
          </w:p>
        </w:tc>
        <w:tc>
          <w:tcPr>
            <w:tcW w:w="1757" w:type="dxa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II полугодие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9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37"/>
        <w:gridCol w:w="5846"/>
        <w:gridCol w:w="1589"/>
        <w:gridCol w:w="1757"/>
      </w:tblGrid>
      <w:tr>
        <w:trPr>
          <w:tblHeader/>
        </w:trPr>
        <w:tc>
          <w:tcPr>
            <w:tcW w:w="73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 и приравненные к нему, за исключением населения и потребителей, указанных 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begin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instrText xml:space="preserve"> HYPERLINK \l "P302" </w:instrTex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separate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строках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end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begin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instrText xml:space="preserve"> HYPERLINK \l "P385" </w:instrTex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separate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end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4,50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4,73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5,16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5,68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4,05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0" w:name="P302"/>
            <w:bookmarkEnd w:id="0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3,15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3,31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3,59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3,78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3,97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2,81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3,15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3,31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3,59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3.3</w:t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3,78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3,97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2,81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3,15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3,31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3,59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3,78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3,97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2,81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1" w:name="P385"/>
            <w:bookmarkEnd w:id="1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сельских населенных пунктах,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3,15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3,31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3,59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3,78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3,97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2,81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Потребители, приравненные к населению: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6.1.1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4,50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4,73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6.1.2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5,16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6.1.3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5,68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4,05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6.2.1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3,15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3,31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6.2.2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3,59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6.2.3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3,78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3,97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2,81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1,71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1,8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6.3.1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4,50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4,73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6.3.2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5,16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6.3.3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5,68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4,05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Содержащиеся за счет прихожан религиозные организации.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6.4.1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4,50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4,73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6.4.2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5,16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6.4.3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5,68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4,05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6.5.1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4,50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4,73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6.5.2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5,16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6.5.3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5,68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4,05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>
        <w:trPr/>
        <w:tc>
          <w:tcPr>
            <w:tcW w:w="73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6.6.1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4,50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4,73</w:t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6.6.2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Дневная зона (пиковая и полупиковая)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5,16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restart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6.6.3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9192" w:type="dxa"/>
            <w:gridSpan w:val="3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5,40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5,68</w:t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Полупиковая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4,05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737" w:type="dxa"/>
            <w:vMerge w:val="continue"/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5846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Ночная зона</w:t>
            </w:r>
          </w:p>
        </w:tc>
        <w:tc>
          <w:tcPr>
            <w:tcW w:w="1589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2,43</w:t>
            </w:r>
          </w:p>
        </w:tc>
        <w:tc>
          <w:tcPr>
            <w:tcW w:w="175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2,5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</w:tbl>
    <w:p>
      <w:pPr>
        <w:pStyle w:val="Normal"/>
        <w:ind w:firstLine="540"/>
        <w:jc w:val="both"/>
        <w:outlineLvl w:val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ind w:firstLine="567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2"/>
          <w:szCs w:val="22"/>
        </w:rPr>
        <w:br w:type="page" w:clear="all"/>
      </w:r>
      <w:r>
        <w:rPr>
          <w:rFonts w:ascii="Liberation Serif" w:hAnsi="Liberation Serif" w:cs="Liberation Serif"/>
          <w:bCs/>
          <w:sz w:val="28"/>
          <w:szCs w:val="28"/>
        </w:rPr>
        <w:t xml:space="preserve">Таблица 1</w:t>
      </w:r>
    </w:p>
    <w:p>
      <w:pPr>
        <w:pStyle w:val="Normal"/>
        <w:ind w:left="5670"/>
        <w:jc w:val="right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</w:r>
    </w:p>
    <w:p>
      <w:pPr>
        <w:pStyle w:val="UserStyle_1"/>
        <w:jc w:val="center"/>
        <w:outlineLvl w:val="0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Балансовые показатели планового объема полезного отпуска электрической энергии, используемые при расчете цен (тарифов) на электрическую энергию </w:t>
      </w:r>
      <w:r>
        <w:rPr>
          <w:rFonts w:ascii="Liberation Serif" w:hAnsi="Liberation Serif" w:cs="Liberation Serif"/>
          <w:b w:val="0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для населения и приравненным к нему категориям потребителей </w:t>
      </w:r>
      <w:r>
        <w:rPr>
          <w:rFonts w:ascii="Liberation Serif" w:hAnsi="Liberation Serif" w:cs="Liberation Serif"/>
          <w:b w:val="0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по Свердловской области</w:t>
      </w:r>
    </w:p>
    <w:p>
      <w:pPr>
        <w:pStyle w:val="UserStyle_5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0"/>
        <w:gridCol w:w="6640"/>
        <w:gridCol w:w="1417"/>
        <w:gridCol w:w="1473"/>
      </w:tblGrid>
      <w:tr>
        <w:trPr>
          <w:cantSplit/>
        </w:trPr>
        <w:tc>
          <w:tcPr>
            <w:tcW w:w="510" w:type="dxa"/>
            <w:vMerge w:val="restart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п/п</w:t>
            </w:r>
          </w:p>
        </w:tc>
        <w:tc>
          <w:tcPr>
            <w:tcW w:w="6640" w:type="dxa"/>
            <w:vMerge w:val="restart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Категории потребителей</w:t>
            </w:r>
          </w:p>
        </w:tc>
        <w:tc>
          <w:tcPr>
            <w:tcW w:w="2890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Плановый объем полезного отпуска электрической энергии, млн. кВт·ч</w:t>
            </w:r>
          </w:p>
        </w:tc>
      </w:tr>
      <w:tr>
        <w:trPr>
          <w:cantSplit/>
        </w:trPr>
        <w:tc>
          <w:tcPr>
            <w:tcW w:w="510" w:type="dxa"/>
            <w:vMerge w:val="continue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vMerge w:val="continue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17" w:type="dxa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I полугодие</w:t>
            </w:r>
          </w:p>
        </w:tc>
        <w:tc>
          <w:tcPr>
            <w:tcW w:w="1473" w:type="dxa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II полугодие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0"/>
        <w:gridCol w:w="6640"/>
        <w:gridCol w:w="1417"/>
        <w:gridCol w:w="1473"/>
      </w:tblGrid>
      <w:tr>
        <w:trPr>
          <w:tblHeader/>
        </w:trPr>
        <w:tc>
          <w:tcPr>
            <w:tcW w:w="510" w:type="dxa"/>
            <w:textDirection w:val="lrTb"/>
            <w:vAlign w:val="top"/>
          </w:tcPr>
          <w:p>
            <w:pPr>
              <w:pStyle w:val="Normal"/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Normal"/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 и приравненные к нему, за исключением населения и потребителей, указанных 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begin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instrText xml:space="preserve"> HYPERLINK \l "P589" </w:instrTex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separate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строках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end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begin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instrText xml:space="preserve"> HYPERLINK \l "P610" </w:instrTex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separate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fldChar w:fldCharType="end"/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1 166,191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1 093,947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</w:pPr>
            <w:bookmarkStart w:id="2" w:name="P589"/>
            <w:bookmarkEnd w:id="2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89,743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64,857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798,087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786,118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9,862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7,025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3" w:name="P610"/>
            <w:bookmarkEnd w:id="3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сельских населенных пунктах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834,715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699,820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Потребители, приравненные к населению: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263,604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241,031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208,459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193,312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9,735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9,098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Содержащиеся за счет прихожан религиозные организации.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9,209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7,437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6,996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6,129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29,205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25,055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</w:tbl>
    <w:p>
      <w:pPr>
        <w:pStyle w:val="UserStyle_5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br w:type="page" w:clear="all"/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5"/>
        <w:jc w:val="right"/>
        <w:outlineLvl w:val="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Таблица 2</w:t>
      </w:r>
    </w:p>
    <w:p>
      <w:pPr>
        <w:pStyle w:val="UserStyle_5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0"/>
        <w:gridCol w:w="6640"/>
        <w:gridCol w:w="1417"/>
        <w:gridCol w:w="1473"/>
      </w:tblGrid>
      <w:tr>
        <w:trPr>
          <w:cantSplit/>
        </w:trPr>
        <w:tc>
          <w:tcPr>
            <w:tcW w:w="510" w:type="dxa"/>
            <w:vMerge w:val="restart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п/п</w:t>
            </w:r>
          </w:p>
        </w:tc>
        <w:tc>
          <w:tcPr>
            <w:tcW w:w="6640" w:type="dxa"/>
            <w:vMerge w:val="restart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Категории потребителей</w:t>
            </w:r>
          </w:p>
        </w:tc>
        <w:tc>
          <w:tcPr>
            <w:tcW w:w="2890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Примененный понижающий коэффициент при установлении цен (тарифов) на электрическую энергию (мощность)</w:t>
            </w:r>
          </w:p>
        </w:tc>
      </w:tr>
      <w:tr>
        <w:trPr>
          <w:cantSplit/>
        </w:trPr>
        <w:tc>
          <w:tcPr>
            <w:tcW w:w="510" w:type="dxa"/>
            <w:vMerge w:val="continue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vMerge w:val="continue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17" w:type="dxa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I полугодие</w:t>
            </w:r>
          </w:p>
        </w:tc>
        <w:tc>
          <w:tcPr>
            <w:tcW w:w="1473" w:type="dxa"/>
            <w:tcBorders>
              <w:bottom w:val="none"/>
            </w:tcBorders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II полугодие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0"/>
        <w:gridCol w:w="6640"/>
        <w:gridCol w:w="1417"/>
        <w:gridCol w:w="1473"/>
      </w:tblGrid>
      <w:tr>
        <w:trPr>
          <w:tblHeader/>
        </w:trPr>
        <w:tc>
          <w:tcPr>
            <w:tcW w:w="510" w:type="dxa"/>
            <w:textDirection w:val="lrTb"/>
            <w:vAlign w:val="top"/>
          </w:tcPr>
          <w:p>
            <w:pPr>
              <w:pStyle w:val="Normal"/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Normal"/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Население, проживающее в сельских населенных пунктах и приравненные к нему: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Потребители, приравненные к населению: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0,7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Содержащиеся за счет прихожан религиозные организации.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</w:tr>
      <w:tr>
        <w:trPr/>
        <w:tc>
          <w:tcPr>
            <w:tcW w:w="510" w:type="dxa"/>
            <w:textDirection w:val="lrTb"/>
            <w:vAlign w:val="top"/>
          </w:tcPr>
          <w:p>
            <w:pPr>
              <w:pStyle w:val="UserStyle_5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6640" w:type="dxa"/>
            <w:textDirection w:val="lrTb"/>
            <w:vAlign w:val="top"/>
          </w:tcPr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>
            <w:pPr>
              <w:pStyle w:val="UserStyle_5"/>
              <w:ind w:firstLine="28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pStyle w:val="UserStyle_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</w:t>
            </w:r>
          </w:p>
        </w:tc>
      </w:tr>
    </w:tbl>
    <w:p>
      <w:pPr>
        <w:pStyle w:val="UserStyle_1"/>
        <w:ind w:left="851"/>
        <w:jc w:val="center"/>
        <w:outlineLvl w:val="0"/>
        <w:rPr>
          <w:rFonts w:ascii="Liberation Serif" w:hAnsi="Liberation Serif" w:cs="Liberation Serif"/>
          <w:b w:val="0"/>
          <w:sz w:val="22"/>
          <w:szCs w:val="22"/>
        </w:rPr>
      </w:pPr>
      <w:r>
        <w:rPr>
          <w:rFonts w:ascii="Liberation Serif" w:hAnsi="Liberation Serif" w:cs="Liberation Serif"/>
          <w:b w:val="0"/>
          <w:sz w:val="22"/>
          <w:szCs w:val="22"/>
        </w:rPr>
      </w:r>
    </w:p>
    <w:sectPr>
      <w:headerReference w:type="default" r:id="rId7"/>
      <w:type w:val="nextPage"/>
      <w:pgSz w:w="11906" w:h="16838"/>
      <w:pgMar w:top="1134" w:right="567" w:bottom="1134" w:left="1418" w:header="567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PAGE   \* MERGEFORMAT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 xml:space="preserve">8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773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85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57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429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501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73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45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717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896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702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 Знак Знак Знак"/>
    <w:basedOn w:val="Normal"/>
    <w:next w:val="UserStyle_0"/>
    <w:link w:val="Normal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UserStyle_1">
    <w:name w:val="ConsPlusTitle"/>
    <w:next w:val="UserStyle_1"/>
    <w:link w:val="Normal"/>
    <w:rPr>
      <w:b/>
      <w:bCs/>
      <w:lang w:val="ru-RU" w:eastAsia="ru-RU" w:bidi="ar-SA"/>
    </w:rPr>
  </w:style>
  <w:style w:type="paragraph" w:styleId="UserStyle_2">
    <w:name w:val=" Знак Знак1 Знак"/>
    <w:basedOn w:val="Normal"/>
    <w:next w:val="UserStyle_2"/>
    <w:link w:val="Normal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UserStyle_3">
    <w:name w:val=" Знак Знак Знак Знак Знак Знак Знак Знак Знак Знак Знак Знак Знак Знак Знак Знак"/>
    <w:basedOn w:val="Normal"/>
    <w:next w:val="UserStyle_3"/>
    <w:link w:val="NormalCharacter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cetate">
    <w:name w:val="Текст выноски"/>
    <w:basedOn w:val="Normal"/>
    <w:next w:val="Acetate"/>
    <w:link w:val="UserStyle_4"/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rPr>
      <w:rFonts w:ascii="Tahoma" w:hAnsi="Tahoma" w:cs="Tahoma"/>
      <w:sz w:val="16"/>
      <w:szCs w:val="16"/>
    </w:rPr>
  </w:style>
  <w:style w:type="paragraph" w:styleId="UserStyle_5">
    <w:name w:val="ConsPlusNormal"/>
    <w:next w:val="UserStyle_5"/>
    <w:link w:val="Normal"/>
    <w:rPr>
      <w:sz w:val="28"/>
      <w:szCs w:val="28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pos="4677" w:leader="none"/>
        <w:tab w:val="right" w:pos="9355" w:leader="none"/>
      </w:tabs>
    </w:pPr>
  </w:style>
  <w:style w:type="character" w:styleId="UserStyle_6">
    <w:name w:val="Верхний колонтитул Знак"/>
    <w:next w:val="UserStyle_6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7"/>
    <w:pPr>
      <w:tabs>
        <w:tab w:val="center" w:pos="4677" w:leader="none"/>
        <w:tab w:val="right" w:pos="9355" w:leader="none"/>
      </w:tabs>
    </w:pPr>
  </w:style>
  <w:style w:type="character" w:styleId="UserStyle_7">
    <w:name w:val="Нижний колонтитул Знак"/>
    <w:next w:val="UserStyle_7"/>
    <w:link w:val="Footer"/>
    <w:rPr>
      <w:sz w:val="24"/>
      <w:szCs w:val="24"/>
    </w:rPr>
  </w:style>
  <w:style w:type="character" w:styleId="Hyperlink">
    <w:name w:val="Гиперссылка"/>
    <w:next w:val="Hyperlink"/>
    <w:link w:val="Normal"/>
    <w:uiPriority w:val="99"/>
    <w:unhideWhenUsed/>
    <w:rPr>
      <w:color w:val="808080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34056</Characters>
  <CharactersWithSpaces>39951</CharactersWithSpaces>
  <DocSecurity>0</DocSecurity>
  <HyperlinksChanged>false</HyperlinksChanged>
  <Lines>283</Lines>
  <Pages>18</Pages>
  <Paragraphs>79</Paragraphs>
  <ScaleCrop>false</ScaleCrop>
  <SharedDoc>false</SharedDoc>
  <Template>Normal</Template>
  <Words>5974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karpov</dc:creator>
  <cp:lastModifiedBy>Колычева Ирина Станиславовна</cp:lastModifiedBy>
  <cp:revision>12</cp:revision>
  <dcterms:created xsi:type="dcterms:W3CDTF">2021-12-16T10:00:00Z</dcterms:created>
  <dcterms:modified xsi:type="dcterms:W3CDTF">2021-12-29T04:19:00Z</dcterms:modified>
  <cp:version>917504</cp:version>
</cp:coreProperties>
</file>